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Wchodzimy w to! InnoEnergy Highway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Podpisujemy umowę i działamy z mocą akceleracji od europejskiej organizacji...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Ogarniamprąd.pl dzięki </w:t>
      </w:r>
      <w:r>
        <w:rPr>
          <w:rFonts w:ascii="calibri" w:hAnsi="calibri" w:eastAsia="calibri" w:cs="calibri"/>
          <w:sz w:val="24"/>
          <w:szCs w:val="24"/>
          <w:b/>
        </w:rPr>
        <w:t xml:space="preserve">KIC Inno-Energy</w:t>
      </w:r>
      <w:r>
        <w:rPr>
          <w:rFonts w:ascii="calibri" w:hAnsi="calibri" w:eastAsia="calibri" w:cs="calibri"/>
          <w:sz w:val="24"/>
          <w:szCs w:val="24"/>
        </w:rPr>
        <w:t xml:space="preserve"> przystepuje do 2-letniego programu</w:t>
      </w:r>
      <w:r>
        <w:rPr>
          <w:rFonts w:ascii="calibri" w:hAnsi="calibri" w:eastAsia="calibri" w:cs="calibri"/>
          <w:sz w:val="24"/>
          <w:szCs w:val="24"/>
          <w:b/>
        </w:rPr>
        <w:t xml:space="preserve"> InnoEnergy Highway.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"KIC InnoEnergy Poland Plus z Krakowa </w:t>
      </w:r>
      <w:r>
        <w:rPr>
          <w:rFonts w:ascii="calibri" w:hAnsi="calibri" w:eastAsia="calibri" w:cs="calibri"/>
          <w:sz w:val="24"/>
          <w:szCs w:val="24"/>
        </w:rPr>
        <w:t xml:space="preserve">to jeden z sześciu europejskich węzłów wiedzy i innowacji budujący dialog pomiędzy naukowcami a inwestorami, promujący innowacje i przedsiębiorczość oraz edukujący w zakresie zrównoważonej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KIC InnoEnergy powstało w 2010 roku z inicjatywy Europejskiego Instytutu Innowacji i Technologii – EIT. W swojej działalności angażuje się w redukcję kosztów energetycznego łańcucha wartości, zwiększając bezpieczeństwo i redukując emisję CO2 oraz innych gazów cieplarnianych. W tym celu rozwija innowacyjne rozwiązania w zakresie pozyskiwania energii (ze źródeł odnawialnych, chemicznych, węglowych i nuklearnych), magazynowania energii i poprawy wydajności energetycznej oraz budowy inteligentnych sieci energetycznych. Każdemu z oddziałów przypisany jest obszar tematyczny – w Polsce są to czyste technologie węglowe. Przyjmując na siebie ryzyko komercjalizacji wyników badań spółka przyczynia się do transformacji pomysłów w namacalne korzyści, tak aby poprawić konkurencyjność Polski w sektorze zrównoważonej energii"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Cytowany tekst jest autorstwa 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Jakuba Laskowskiego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http://www.forum-przedsiebiorczosci.pl/?p=508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2025-12-06T17:53:08+01:00</dcterms:created>
  <dcterms:modified xsi:type="dcterms:W3CDTF">2025-12-06T17:53:08+01:00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